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291" w:rsidRPr="002256E0" w:rsidRDefault="00A27291" w:rsidP="001A0D22">
      <w:pPr>
        <w:spacing w:after="240" w:line="276" w:lineRule="auto"/>
        <w:ind w:left="0" w:hanging="2"/>
        <w:jc w:val="center"/>
        <w:rPr>
          <w:rFonts w:asciiTheme="majorHAnsi" w:eastAsia="Nexa Light" w:hAnsiTheme="majorHAnsi" w:cstheme="majorHAnsi"/>
          <w:b/>
          <w:sz w:val="22"/>
          <w:szCs w:val="22"/>
        </w:rPr>
      </w:pPr>
      <w:bookmarkStart w:id="0" w:name="_heading=h.gjdgxs" w:colFirst="0" w:colLast="0"/>
      <w:bookmarkEnd w:id="0"/>
      <w:r w:rsidRPr="002256E0">
        <w:rPr>
          <w:rFonts w:asciiTheme="majorHAnsi" w:eastAsia="Nexa Light" w:hAnsiTheme="majorHAnsi" w:cstheme="majorHAnsi"/>
          <w:b/>
          <w:sz w:val="22"/>
          <w:szCs w:val="22"/>
        </w:rPr>
        <w:t>TERMO DE REFERÊNCIA PADRÃO Nº 02/CCRE/SUBIO/SEMA-MT</w:t>
      </w:r>
      <w:r w:rsidR="002256E0">
        <w:rPr>
          <w:rStyle w:val="Refdenotaderodap"/>
          <w:rFonts w:asciiTheme="majorHAnsi" w:eastAsia="Nexa Light" w:hAnsiTheme="majorHAnsi" w:cstheme="majorHAnsi"/>
          <w:b/>
          <w:sz w:val="22"/>
          <w:szCs w:val="22"/>
        </w:rPr>
        <w:footnoteReference w:id="1"/>
      </w:r>
    </w:p>
    <w:p w:rsidR="00A27291" w:rsidRPr="002256E0" w:rsidRDefault="00A27291" w:rsidP="001A0D22">
      <w:pPr>
        <w:tabs>
          <w:tab w:val="left" w:pos="709"/>
        </w:tabs>
        <w:spacing w:after="240" w:line="276" w:lineRule="auto"/>
        <w:ind w:left="0" w:hanging="2"/>
        <w:jc w:val="center"/>
        <w:rPr>
          <w:rFonts w:asciiTheme="majorHAnsi" w:eastAsia="Nexa Light" w:hAnsiTheme="majorHAnsi" w:cstheme="majorHAnsi"/>
          <w:b/>
          <w:sz w:val="22"/>
          <w:szCs w:val="22"/>
        </w:rPr>
      </w:pPr>
      <w:r w:rsidRPr="002256E0">
        <w:rPr>
          <w:rFonts w:asciiTheme="majorHAnsi" w:eastAsia="Nexa Light" w:hAnsiTheme="majorHAnsi" w:cstheme="majorHAnsi"/>
          <w:b/>
          <w:sz w:val="22"/>
          <w:szCs w:val="22"/>
        </w:rPr>
        <w:t>Objeto: Autorização para Restauração de Vegetação Campestres Nativas na Planície Alagável do Pantanal</w:t>
      </w:r>
    </w:p>
    <w:p w:rsidR="00A27291" w:rsidRPr="002256E0" w:rsidRDefault="00A27291" w:rsidP="001A0D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240"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eastAsia="Nexa Light" w:hAnsiTheme="majorHAnsi" w:cstheme="majorHAnsi"/>
          <w:b/>
          <w:color w:val="000000"/>
          <w:sz w:val="22"/>
          <w:szCs w:val="22"/>
        </w:rPr>
      </w:pPr>
      <w:r w:rsidRPr="002256E0">
        <w:rPr>
          <w:rFonts w:asciiTheme="majorHAnsi" w:eastAsia="Nexa Light" w:hAnsiTheme="majorHAnsi" w:cstheme="majorHAnsi"/>
          <w:b/>
          <w:color w:val="000000"/>
          <w:sz w:val="22"/>
          <w:szCs w:val="22"/>
        </w:rPr>
        <w:t xml:space="preserve">DOCUMENTOS GERAIS </w:t>
      </w:r>
    </w:p>
    <w:p w:rsidR="00A27291" w:rsidRPr="002256E0" w:rsidRDefault="00A27291" w:rsidP="001A0D22">
      <w:pPr>
        <w:pStyle w:val="PargrafodaLista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240" w:line="276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Nexa Light" w:hAnsiTheme="majorHAnsi" w:cstheme="majorHAnsi"/>
          <w:color w:val="000000"/>
          <w:sz w:val="22"/>
          <w:szCs w:val="22"/>
        </w:rPr>
      </w:pPr>
      <w:r w:rsidRPr="002256E0">
        <w:rPr>
          <w:rFonts w:asciiTheme="majorHAnsi" w:eastAsia="Nexa Light" w:hAnsiTheme="majorHAnsi" w:cstheme="majorHAnsi"/>
          <w:color w:val="000000"/>
          <w:sz w:val="22"/>
          <w:szCs w:val="22"/>
        </w:rPr>
        <w:t>Atender o Termo de Referência nº 01/CCRE/SUBIO/SEMA - Documentação empreendedor/empreendimento;</w:t>
      </w:r>
    </w:p>
    <w:p w:rsidR="004F7569" w:rsidRPr="002256E0" w:rsidRDefault="004F7569" w:rsidP="001A0D22">
      <w:pPr>
        <w:pStyle w:val="PargrafodaLista"/>
        <w:pBdr>
          <w:top w:val="nil"/>
          <w:left w:val="nil"/>
          <w:bottom w:val="nil"/>
          <w:right w:val="nil"/>
          <w:between w:val="nil"/>
        </w:pBdr>
        <w:suppressAutoHyphens w:val="0"/>
        <w:spacing w:after="240" w:line="276" w:lineRule="auto"/>
        <w:ind w:leftChars="0" w:left="360" w:firstLineChars="0" w:firstLine="0"/>
        <w:jc w:val="both"/>
        <w:textDirection w:val="lrTb"/>
        <w:textAlignment w:val="auto"/>
        <w:outlineLvl w:val="9"/>
        <w:rPr>
          <w:rFonts w:asciiTheme="majorHAnsi" w:eastAsia="Nexa Light" w:hAnsiTheme="majorHAnsi" w:cstheme="majorHAnsi"/>
          <w:color w:val="000000"/>
          <w:sz w:val="22"/>
          <w:szCs w:val="22"/>
        </w:rPr>
      </w:pPr>
    </w:p>
    <w:p w:rsidR="00A27291" w:rsidRPr="002256E0" w:rsidRDefault="00A27291" w:rsidP="001A0D22">
      <w:pPr>
        <w:pStyle w:val="PargrafodaLista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240" w:line="276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Nexa Light" w:hAnsiTheme="majorHAnsi" w:cstheme="majorHAnsi"/>
          <w:color w:val="000000"/>
          <w:sz w:val="22"/>
          <w:szCs w:val="22"/>
        </w:rPr>
      </w:pPr>
      <w:r w:rsidRPr="002256E0">
        <w:rPr>
          <w:rFonts w:asciiTheme="majorHAnsi" w:eastAsia="Nexa Light" w:hAnsiTheme="majorHAnsi" w:cstheme="majorHAnsi"/>
          <w:color w:val="000000"/>
          <w:sz w:val="22"/>
          <w:szCs w:val="22"/>
        </w:rPr>
        <w:t>Requerimento Padrão SEMA (D</w:t>
      </w:r>
      <w:r w:rsidRPr="002256E0">
        <w:rPr>
          <w:rFonts w:asciiTheme="majorHAnsi" w:eastAsia="Nexa Light" w:hAnsiTheme="majorHAnsi" w:cstheme="majorHAnsi"/>
          <w:sz w:val="22"/>
          <w:szCs w:val="22"/>
        </w:rPr>
        <w:t>evidamente assinados</w:t>
      </w:r>
      <w:r w:rsidRPr="002256E0">
        <w:rPr>
          <w:rFonts w:asciiTheme="majorHAnsi" w:eastAsia="Nexa Light" w:hAnsiTheme="majorHAnsi" w:cstheme="majorHAnsi"/>
          <w:color w:val="000000"/>
          <w:sz w:val="22"/>
          <w:szCs w:val="22"/>
        </w:rPr>
        <w:t>);</w:t>
      </w:r>
    </w:p>
    <w:p w:rsidR="00A27291" w:rsidRPr="002256E0" w:rsidRDefault="00A27291" w:rsidP="001A0D22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24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Nexa Light" w:hAnsiTheme="majorHAnsi" w:cstheme="majorHAnsi"/>
          <w:color w:val="000000"/>
          <w:sz w:val="22"/>
          <w:szCs w:val="22"/>
        </w:rPr>
      </w:pPr>
      <w:r w:rsidRPr="002256E0">
        <w:rPr>
          <w:rFonts w:asciiTheme="majorHAnsi" w:eastAsia="Nexa Light" w:hAnsiTheme="majorHAnsi" w:cstheme="majorHAnsi"/>
          <w:color w:val="000000"/>
          <w:sz w:val="22"/>
          <w:szCs w:val="22"/>
        </w:rPr>
        <w:t>Apresentar comprovante de Taxa de Autorização Diversa</w:t>
      </w:r>
      <w:r w:rsidRPr="002256E0">
        <w:rPr>
          <w:rFonts w:asciiTheme="majorHAnsi" w:eastAsia="Nexa Light" w:hAnsiTheme="majorHAnsi" w:cstheme="majorHAnsi"/>
          <w:color w:val="000000"/>
          <w:sz w:val="22"/>
          <w:szCs w:val="22"/>
          <w:vertAlign w:val="superscript"/>
        </w:rPr>
        <w:footnoteReference w:id="2"/>
      </w:r>
      <w:r w:rsidRPr="002256E0">
        <w:rPr>
          <w:rFonts w:asciiTheme="majorHAnsi" w:eastAsia="Nexa Light" w:hAnsiTheme="majorHAnsi" w:cstheme="majorHAnsi"/>
          <w:color w:val="000000"/>
          <w:sz w:val="22"/>
          <w:szCs w:val="22"/>
        </w:rPr>
        <w:t xml:space="preserve"> (Anexo III – Classificações Específicas, Lei 11.179/2020). Efetuar o pagamento da Taxa de 5 UPF. Em sendo necessário o setor técnico solicitará pagamento da taxa para realização da vistoria. </w:t>
      </w:r>
    </w:p>
    <w:p w:rsidR="00A27291" w:rsidRPr="002256E0" w:rsidRDefault="00A27291" w:rsidP="001A0D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240"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eastAsia="Nexa Light" w:hAnsiTheme="majorHAnsi" w:cstheme="majorHAnsi"/>
          <w:color w:val="000000"/>
          <w:sz w:val="22"/>
          <w:szCs w:val="22"/>
        </w:rPr>
      </w:pPr>
      <w:r w:rsidRPr="002256E0">
        <w:rPr>
          <w:rFonts w:asciiTheme="majorHAnsi" w:eastAsia="Nexa Light" w:hAnsiTheme="majorHAnsi" w:cstheme="majorHAnsi"/>
          <w:b/>
          <w:color w:val="000000"/>
          <w:sz w:val="22"/>
          <w:szCs w:val="22"/>
        </w:rPr>
        <w:t>Projeto de Restauração das Formações Campestre na Planície Alagável do Pantanal, visando o controle de espécies colonizadoras indesejadas (oportunistas) para a atividade de pecuária extensiva;</w:t>
      </w:r>
    </w:p>
    <w:p w:rsidR="00A27291" w:rsidRPr="007B6CD8" w:rsidRDefault="00A27291" w:rsidP="001A0D2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b/>
          <w:color w:val="000000"/>
          <w:sz w:val="22"/>
          <w:szCs w:val="22"/>
          <w:u w:val="single"/>
        </w:rPr>
      </w:pPr>
      <w:r w:rsidRPr="007B6CD8">
        <w:rPr>
          <w:rFonts w:asciiTheme="majorHAnsi" w:eastAsia="Nexa Light" w:hAnsiTheme="majorHAnsi" w:cstheme="majorHAnsi"/>
          <w:b/>
          <w:color w:val="000000"/>
          <w:sz w:val="22"/>
          <w:szCs w:val="22"/>
          <w:u w:val="single"/>
        </w:rPr>
        <w:t>2.1 Informações Gerais</w:t>
      </w:r>
      <w:r w:rsidRPr="007B6CD8">
        <w:rPr>
          <w:rFonts w:asciiTheme="majorHAnsi" w:eastAsia="Nexa Light" w:hAnsiTheme="majorHAnsi" w:cstheme="majorHAnsi"/>
          <w:b/>
          <w:color w:val="000000"/>
          <w:sz w:val="22"/>
          <w:szCs w:val="22"/>
        </w:rPr>
        <w:t xml:space="preserve"> </w:t>
      </w:r>
    </w:p>
    <w:p w:rsidR="00A27291" w:rsidRPr="002256E0" w:rsidRDefault="00A27291" w:rsidP="001A0D2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color w:val="000000"/>
          <w:sz w:val="22"/>
          <w:szCs w:val="22"/>
        </w:rPr>
      </w:pPr>
      <w:r w:rsidRPr="002256E0">
        <w:rPr>
          <w:rFonts w:asciiTheme="majorHAnsi" w:eastAsia="Nexa Light" w:hAnsiTheme="majorHAnsi" w:cstheme="majorHAnsi"/>
          <w:color w:val="000000"/>
          <w:sz w:val="22"/>
          <w:szCs w:val="22"/>
        </w:rPr>
        <w:t>Identificar as informações gerais do proprietário, representante legal, responsável técnico e imóvel</w:t>
      </w:r>
    </w:p>
    <w:p w:rsidR="00A27291" w:rsidRPr="007B6CD8" w:rsidRDefault="00A27291" w:rsidP="001A0D22">
      <w:pP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b/>
          <w:sz w:val="22"/>
          <w:szCs w:val="22"/>
          <w:u w:val="single"/>
        </w:rPr>
      </w:pPr>
      <w:r w:rsidRPr="007B6CD8">
        <w:rPr>
          <w:rFonts w:asciiTheme="majorHAnsi" w:eastAsia="Nexa Light" w:hAnsiTheme="majorHAnsi" w:cstheme="majorHAnsi"/>
          <w:b/>
          <w:sz w:val="22"/>
          <w:szCs w:val="22"/>
          <w:u w:val="single"/>
        </w:rPr>
        <w:t xml:space="preserve">2.2 Objetivos </w:t>
      </w:r>
    </w:p>
    <w:p w:rsidR="00A27291" w:rsidRPr="002256E0" w:rsidRDefault="00A27291" w:rsidP="001A0D22">
      <w:pP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sz w:val="22"/>
          <w:szCs w:val="22"/>
        </w:rPr>
      </w:pPr>
      <w:r w:rsidRPr="002256E0">
        <w:rPr>
          <w:rFonts w:asciiTheme="majorHAnsi" w:eastAsia="Nexa Light" w:hAnsiTheme="majorHAnsi" w:cstheme="majorHAnsi"/>
          <w:sz w:val="22"/>
          <w:szCs w:val="22"/>
        </w:rPr>
        <w:t>2.2.1 Descrever os objetivos do projeto;</w:t>
      </w:r>
    </w:p>
    <w:p w:rsidR="00A27291" w:rsidRPr="007B6CD8" w:rsidRDefault="00A27291" w:rsidP="001A0D22">
      <w:pP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b/>
          <w:sz w:val="22"/>
          <w:szCs w:val="22"/>
          <w:u w:val="single"/>
        </w:rPr>
      </w:pPr>
      <w:r w:rsidRPr="007B6CD8">
        <w:rPr>
          <w:rFonts w:asciiTheme="majorHAnsi" w:eastAsia="Nexa Light" w:hAnsiTheme="majorHAnsi" w:cstheme="majorHAnsi"/>
          <w:b/>
          <w:sz w:val="22"/>
          <w:szCs w:val="22"/>
          <w:u w:val="single"/>
        </w:rPr>
        <w:t>2.3 Caracterização da Propriedade Rural</w:t>
      </w:r>
    </w:p>
    <w:p w:rsidR="00A27291" w:rsidRPr="002256E0" w:rsidRDefault="00A27291" w:rsidP="001A0D22">
      <w:pP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sz w:val="22"/>
          <w:szCs w:val="22"/>
        </w:rPr>
      </w:pPr>
      <w:r w:rsidRPr="002256E0">
        <w:rPr>
          <w:rFonts w:asciiTheme="majorHAnsi" w:eastAsia="Nexa Light" w:hAnsiTheme="majorHAnsi" w:cstheme="majorHAnsi"/>
          <w:sz w:val="22"/>
          <w:szCs w:val="22"/>
        </w:rPr>
        <w:t xml:space="preserve">2.3.1 Croqui detalhado de acesso à propriedade com coordenadas geográficas da sede da propriedade e entrada principal; </w:t>
      </w:r>
    </w:p>
    <w:p w:rsidR="00A27291" w:rsidRPr="002256E0" w:rsidRDefault="00A27291" w:rsidP="001A0D22">
      <w:pP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sz w:val="22"/>
          <w:szCs w:val="22"/>
        </w:rPr>
      </w:pPr>
      <w:r w:rsidRPr="002256E0">
        <w:rPr>
          <w:rFonts w:asciiTheme="majorHAnsi" w:eastAsia="Nexa Light" w:hAnsiTheme="majorHAnsi" w:cstheme="majorHAnsi"/>
          <w:sz w:val="22"/>
          <w:szCs w:val="22"/>
        </w:rPr>
        <w:t>2.3.2 Atividades desenvolvidas na propriedade;</w:t>
      </w:r>
    </w:p>
    <w:p w:rsidR="00A27291" w:rsidRPr="002256E0" w:rsidRDefault="00A27291" w:rsidP="001A0D22">
      <w:pP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sz w:val="22"/>
          <w:szCs w:val="22"/>
        </w:rPr>
      </w:pPr>
      <w:r w:rsidRPr="002256E0">
        <w:rPr>
          <w:rFonts w:asciiTheme="majorHAnsi" w:eastAsia="Nexa Light" w:hAnsiTheme="majorHAnsi" w:cstheme="majorHAnsi"/>
          <w:sz w:val="22"/>
          <w:szCs w:val="22"/>
        </w:rPr>
        <w:t>2.3.3 Descrever os diferentes tipos de cobertura vegetal nativa da propriedade;</w:t>
      </w:r>
    </w:p>
    <w:p w:rsidR="00A27291" w:rsidRPr="002256E0" w:rsidRDefault="00A27291" w:rsidP="001A0D22">
      <w:pP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sz w:val="22"/>
          <w:szCs w:val="22"/>
        </w:rPr>
      </w:pPr>
      <w:r w:rsidRPr="002256E0">
        <w:rPr>
          <w:rFonts w:asciiTheme="majorHAnsi" w:eastAsia="Nexa Light" w:hAnsiTheme="majorHAnsi" w:cstheme="majorHAnsi"/>
          <w:sz w:val="22"/>
          <w:szCs w:val="22"/>
        </w:rPr>
        <w:lastRenderedPageBreak/>
        <w:t>2.3.4 Caracterização das tipologias vegetais da propriedade (Formações), apresentar mapa;</w:t>
      </w:r>
    </w:p>
    <w:p w:rsidR="00A27291" w:rsidRPr="002256E0" w:rsidRDefault="00A27291" w:rsidP="001A0D22">
      <w:pP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sz w:val="22"/>
          <w:szCs w:val="22"/>
        </w:rPr>
      </w:pPr>
      <w:r w:rsidRPr="002256E0">
        <w:rPr>
          <w:rFonts w:asciiTheme="majorHAnsi" w:eastAsia="Nexa Light" w:hAnsiTheme="majorHAnsi" w:cstheme="majorHAnsi"/>
          <w:sz w:val="22"/>
          <w:szCs w:val="22"/>
        </w:rPr>
        <w:t xml:space="preserve">2.3.5 Apresentar Mapa em meio digital e analógico contendo a vetorização da área total do empreendimento com todas as feições apresentadas no SIMCAR propriedade; </w:t>
      </w:r>
    </w:p>
    <w:p w:rsidR="00A27291" w:rsidRPr="002256E0" w:rsidRDefault="00A27291" w:rsidP="001A0D22">
      <w:pP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sz w:val="22"/>
          <w:szCs w:val="22"/>
        </w:rPr>
      </w:pPr>
      <w:r w:rsidRPr="002256E0">
        <w:rPr>
          <w:rFonts w:asciiTheme="majorHAnsi" w:eastAsia="Nexa Light" w:hAnsiTheme="majorHAnsi" w:cstheme="majorHAnsi"/>
          <w:sz w:val="22"/>
          <w:szCs w:val="22"/>
        </w:rPr>
        <w:t>2.3.6 Mapa das áreas alagadas permanentemente, alagadas por mais de 6 meses, alagadas até 6 meses, alagadas até 3 meses e áreas terrestres sem alagamento.</w:t>
      </w:r>
    </w:p>
    <w:p w:rsidR="00A27291" w:rsidRPr="007B6CD8" w:rsidRDefault="00A27291" w:rsidP="001A0D22">
      <w:pP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b/>
          <w:sz w:val="22"/>
          <w:szCs w:val="22"/>
          <w:u w:val="single"/>
        </w:rPr>
      </w:pPr>
      <w:r w:rsidRPr="007B6CD8">
        <w:rPr>
          <w:rFonts w:asciiTheme="majorHAnsi" w:eastAsia="Nexa Light" w:hAnsiTheme="majorHAnsi" w:cstheme="majorHAnsi"/>
          <w:b/>
          <w:sz w:val="22"/>
          <w:szCs w:val="22"/>
          <w:u w:val="single"/>
        </w:rPr>
        <w:t>2.4 Caracterização da Área Objeto da Resta</w:t>
      </w:r>
      <w:r w:rsidR="004F7569" w:rsidRPr="007B6CD8">
        <w:rPr>
          <w:rFonts w:asciiTheme="majorHAnsi" w:eastAsia="Nexa Light" w:hAnsiTheme="majorHAnsi" w:cstheme="majorHAnsi"/>
          <w:b/>
          <w:sz w:val="22"/>
          <w:szCs w:val="22"/>
          <w:u w:val="single"/>
        </w:rPr>
        <w:t>uração de Formações Campestres Nativa</w:t>
      </w:r>
      <w:r w:rsidRPr="007B6CD8">
        <w:rPr>
          <w:rFonts w:asciiTheme="majorHAnsi" w:eastAsia="Nexa Light" w:hAnsiTheme="majorHAnsi" w:cstheme="majorHAnsi"/>
          <w:b/>
          <w:sz w:val="22"/>
          <w:szCs w:val="22"/>
          <w:u w:val="single"/>
        </w:rPr>
        <w:t xml:space="preserve"> </w:t>
      </w:r>
    </w:p>
    <w:p w:rsidR="00A27291" w:rsidRPr="002256E0" w:rsidRDefault="00A27291" w:rsidP="001A0D22">
      <w:pP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sz w:val="22"/>
          <w:szCs w:val="22"/>
        </w:rPr>
      </w:pPr>
      <w:r w:rsidRPr="002256E0">
        <w:rPr>
          <w:rFonts w:asciiTheme="majorHAnsi" w:eastAsia="Nexa Light" w:hAnsiTheme="majorHAnsi" w:cstheme="majorHAnsi"/>
          <w:sz w:val="22"/>
          <w:szCs w:val="22"/>
        </w:rPr>
        <w:t xml:space="preserve">2.4.1 </w:t>
      </w:r>
      <w:r w:rsidR="00413C2A" w:rsidRPr="002256E0">
        <w:rPr>
          <w:rFonts w:asciiTheme="majorHAnsi" w:eastAsia="Nexa Light" w:hAnsiTheme="majorHAnsi" w:cstheme="majorHAnsi"/>
          <w:sz w:val="22"/>
          <w:szCs w:val="22"/>
        </w:rPr>
        <w:t>Apresentar Mapa contendo a delimitação das áreas solic</w:t>
      </w:r>
      <w:r w:rsidR="004F7569" w:rsidRPr="002256E0">
        <w:rPr>
          <w:rFonts w:asciiTheme="majorHAnsi" w:eastAsia="Nexa Light" w:hAnsiTheme="majorHAnsi" w:cstheme="majorHAnsi"/>
          <w:sz w:val="22"/>
          <w:szCs w:val="22"/>
        </w:rPr>
        <w:t>itadas para restauração</w:t>
      </w:r>
      <w:r w:rsidR="00413C2A" w:rsidRPr="002256E0">
        <w:rPr>
          <w:rFonts w:asciiTheme="majorHAnsi" w:eastAsia="Nexa Light" w:hAnsiTheme="majorHAnsi" w:cstheme="majorHAnsi"/>
          <w:sz w:val="22"/>
          <w:szCs w:val="22"/>
        </w:rPr>
        <w:t>, em meio digital e analógico, assim como, quantitativo de áreas, atendendo o Art. 7º do Decreto. No caso de a área solicitada para restauração possuir extensões superiores a 1000 hectares, deve ser apresentado um mapa com as áreas separadas em unidades de trabalho (UT’s) a cada 1000 hectares, assim como o quantitativo das áreas;</w:t>
      </w:r>
    </w:p>
    <w:p w:rsidR="00A27291" w:rsidRPr="002256E0" w:rsidRDefault="00A27291" w:rsidP="001A0D22">
      <w:pP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sz w:val="22"/>
          <w:szCs w:val="22"/>
        </w:rPr>
      </w:pPr>
      <w:r w:rsidRPr="002256E0">
        <w:rPr>
          <w:rFonts w:asciiTheme="majorHAnsi" w:eastAsia="Nexa Light" w:hAnsiTheme="majorHAnsi" w:cstheme="majorHAnsi"/>
          <w:sz w:val="22"/>
          <w:szCs w:val="22"/>
        </w:rPr>
        <w:t xml:space="preserve">2.4.2 </w:t>
      </w:r>
      <w:r w:rsidR="00413C2A" w:rsidRPr="002256E0">
        <w:rPr>
          <w:rFonts w:asciiTheme="majorHAnsi" w:eastAsia="Nexa Light" w:hAnsiTheme="majorHAnsi" w:cstheme="majorHAnsi"/>
          <w:sz w:val="22"/>
          <w:szCs w:val="22"/>
        </w:rPr>
        <w:t xml:space="preserve">Mapa com a caracterização da(s) área(s) proposta(s) para a restauração classificando a vegetação nas categorias: “pastagens”, “formação campestre”, “formação savânica” e “campos alagados”, localizando-as conforme o mapa do Anexo I do Decreto nº 774 de 14 de março de 2024. Apresentar um mapa para cada UT, caso a área necessite ser separada desta forma (a cada 1000 hectares). </w:t>
      </w:r>
      <w:r w:rsidR="00413C2A" w:rsidRPr="002256E0">
        <w:rPr>
          <w:rFonts w:asciiTheme="majorHAnsi" w:eastAsia="Nexa Light" w:hAnsiTheme="majorHAnsi" w:cstheme="majorHAnsi"/>
          <w:sz w:val="22"/>
          <w:szCs w:val="22"/>
          <w:u w:val="single"/>
        </w:rPr>
        <w:t>Caso a área objeto da autorização pretendida não se enquadre nas classificações mencionadas, deverá ser apresentado o Laudo conforme TRP nº 03/CCRE/SUBIO/SEMA-MT.</w:t>
      </w:r>
    </w:p>
    <w:p w:rsidR="00A27291" w:rsidRPr="002256E0" w:rsidRDefault="00A27291" w:rsidP="001A0D22">
      <w:pP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sz w:val="22"/>
          <w:szCs w:val="22"/>
        </w:rPr>
      </w:pPr>
      <w:r w:rsidRPr="002256E0">
        <w:rPr>
          <w:rFonts w:asciiTheme="majorHAnsi" w:eastAsia="Nexa Light" w:hAnsiTheme="majorHAnsi" w:cstheme="majorHAnsi"/>
          <w:sz w:val="22"/>
          <w:szCs w:val="22"/>
        </w:rPr>
        <w:t xml:space="preserve">2.4.3 </w:t>
      </w:r>
      <w:r w:rsidR="00413C2A" w:rsidRPr="002256E0">
        <w:rPr>
          <w:rFonts w:asciiTheme="majorHAnsi" w:eastAsia="Nexa Light" w:hAnsiTheme="majorHAnsi" w:cstheme="majorHAnsi"/>
          <w:sz w:val="22"/>
          <w:szCs w:val="22"/>
        </w:rPr>
        <w:t xml:space="preserve">Caracterizar os diferentes tipos de cobertura vegetal nativa </w:t>
      </w:r>
      <w:r w:rsidR="004F7569" w:rsidRPr="002256E0">
        <w:rPr>
          <w:rFonts w:asciiTheme="majorHAnsi" w:eastAsia="Nexa Light" w:hAnsiTheme="majorHAnsi" w:cstheme="majorHAnsi"/>
          <w:sz w:val="22"/>
          <w:szCs w:val="22"/>
        </w:rPr>
        <w:t xml:space="preserve">na área proposta para a restaura, </w:t>
      </w:r>
      <w:r w:rsidR="00413C2A" w:rsidRPr="002256E0">
        <w:rPr>
          <w:rFonts w:asciiTheme="majorHAnsi" w:eastAsia="Nexa Light" w:hAnsiTheme="majorHAnsi" w:cstheme="majorHAnsi"/>
          <w:sz w:val="22"/>
          <w:szCs w:val="22"/>
        </w:rPr>
        <w:t>com mapa descritivo e registro fotográfico georreferenciado, mediante aerolevantamento de toda a área objeto de intervenção, em altura suficiente para identificar os indivíduos arbóreos. Em caso de haver a necessidade de separação da área proposta para limpeza em UT’s (a cada 1000 hectares), deve ser caracterizado e apresentado as informações solicitadas para cada UT, separadamente;</w:t>
      </w:r>
    </w:p>
    <w:p w:rsidR="00A27291" w:rsidRPr="002256E0" w:rsidRDefault="00A27291" w:rsidP="001A0D22">
      <w:pP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sz w:val="22"/>
          <w:szCs w:val="22"/>
        </w:rPr>
      </w:pPr>
      <w:r w:rsidRPr="002256E0">
        <w:rPr>
          <w:rFonts w:asciiTheme="majorHAnsi" w:eastAsia="Nexa Light" w:hAnsiTheme="majorHAnsi" w:cstheme="majorHAnsi"/>
          <w:sz w:val="22"/>
          <w:szCs w:val="22"/>
        </w:rPr>
        <w:t xml:space="preserve">2.4.4 </w:t>
      </w:r>
      <w:r w:rsidR="00413C2A" w:rsidRPr="002256E0">
        <w:rPr>
          <w:rFonts w:asciiTheme="majorHAnsi" w:eastAsia="Nexa Light" w:hAnsiTheme="majorHAnsi" w:cstheme="majorHAnsi"/>
          <w:sz w:val="22"/>
          <w:szCs w:val="22"/>
        </w:rPr>
        <w:t xml:space="preserve">Descrever os tipos de solos, com mapa representativo da área proposta para </w:t>
      </w:r>
      <w:r w:rsidR="004F7569" w:rsidRPr="002256E0">
        <w:rPr>
          <w:rFonts w:asciiTheme="majorHAnsi" w:eastAsia="Nexa Light" w:hAnsiTheme="majorHAnsi" w:cstheme="majorHAnsi"/>
          <w:sz w:val="22"/>
          <w:szCs w:val="22"/>
        </w:rPr>
        <w:t>restaura</w:t>
      </w:r>
      <w:r w:rsidR="00413C2A" w:rsidRPr="002256E0">
        <w:rPr>
          <w:rFonts w:asciiTheme="majorHAnsi" w:eastAsia="Nexa Light" w:hAnsiTheme="majorHAnsi" w:cstheme="majorHAnsi"/>
          <w:sz w:val="22"/>
          <w:szCs w:val="22"/>
        </w:rPr>
        <w:t>. Caso a área for dividida em UT’s, deverá apresentar descrição e mapa para cada UT separadamente;</w:t>
      </w:r>
    </w:p>
    <w:p w:rsidR="00A27291" w:rsidRPr="002256E0" w:rsidRDefault="00A27291" w:rsidP="001A0D22">
      <w:pP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sz w:val="22"/>
          <w:szCs w:val="22"/>
        </w:rPr>
      </w:pPr>
      <w:r w:rsidRPr="002256E0">
        <w:rPr>
          <w:rFonts w:asciiTheme="majorHAnsi" w:eastAsia="Nexa Light" w:hAnsiTheme="majorHAnsi" w:cstheme="majorHAnsi"/>
          <w:sz w:val="22"/>
          <w:szCs w:val="22"/>
        </w:rPr>
        <w:t>2.4.5 Descrever as atividades desenvolvidas na área proposta para a</w:t>
      </w:r>
      <w:r w:rsidR="004F7569" w:rsidRPr="002256E0">
        <w:rPr>
          <w:rFonts w:asciiTheme="majorHAnsi" w:eastAsia="Nexa Light" w:hAnsiTheme="majorHAnsi" w:cstheme="majorHAnsi"/>
          <w:sz w:val="22"/>
          <w:szCs w:val="22"/>
        </w:rPr>
        <w:t xml:space="preserve"> restaura</w:t>
      </w:r>
      <w:r w:rsidRPr="002256E0">
        <w:rPr>
          <w:rFonts w:asciiTheme="majorHAnsi" w:eastAsia="Nexa Light" w:hAnsiTheme="majorHAnsi" w:cstheme="majorHAnsi"/>
          <w:sz w:val="22"/>
          <w:szCs w:val="22"/>
        </w:rPr>
        <w:t>;</w:t>
      </w:r>
    </w:p>
    <w:p w:rsidR="00A27291" w:rsidRPr="002256E0" w:rsidRDefault="00A27291" w:rsidP="001A0D22">
      <w:pP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sz w:val="22"/>
          <w:szCs w:val="22"/>
        </w:rPr>
      </w:pPr>
      <w:r w:rsidRPr="002256E0">
        <w:rPr>
          <w:rFonts w:asciiTheme="majorHAnsi" w:eastAsia="Nexa Light" w:hAnsiTheme="majorHAnsi" w:cstheme="majorHAnsi"/>
          <w:sz w:val="22"/>
          <w:szCs w:val="22"/>
        </w:rPr>
        <w:t>2.4.6 Quantificação e qualificação dos animais em criação;</w:t>
      </w:r>
    </w:p>
    <w:p w:rsidR="00A27291" w:rsidRPr="002256E0" w:rsidRDefault="00A27291" w:rsidP="001A0D22">
      <w:pP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sz w:val="22"/>
          <w:szCs w:val="22"/>
        </w:rPr>
      </w:pPr>
      <w:r w:rsidRPr="002256E0">
        <w:rPr>
          <w:rFonts w:asciiTheme="majorHAnsi" w:eastAsia="Nexa Light" w:hAnsiTheme="majorHAnsi" w:cstheme="majorHAnsi"/>
          <w:sz w:val="22"/>
          <w:szCs w:val="22"/>
        </w:rPr>
        <w:t>2.4.7 Outras informações conforme a necessidade.</w:t>
      </w:r>
    </w:p>
    <w:p w:rsidR="00A27291" w:rsidRPr="007B6CD8" w:rsidRDefault="00A27291" w:rsidP="001A0D22">
      <w:pP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b/>
          <w:sz w:val="22"/>
          <w:szCs w:val="22"/>
          <w:u w:val="single"/>
        </w:rPr>
      </w:pPr>
      <w:r w:rsidRPr="007B6CD8">
        <w:rPr>
          <w:rFonts w:asciiTheme="majorHAnsi" w:eastAsia="Nexa Light" w:hAnsiTheme="majorHAnsi" w:cstheme="majorHAnsi"/>
          <w:b/>
          <w:sz w:val="22"/>
          <w:szCs w:val="22"/>
          <w:u w:val="single"/>
        </w:rPr>
        <w:t xml:space="preserve">2.5 Materiais e Métodos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7291" w:rsidRPr="002256E0" w:rsidRDefault="00A27291" w:rsidP="001A0D22">
      <w:pP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sz w:val="22"/>
          <w:szCs w:val="22"/>
        </w:rPr>
      </w:pPr>
      <w:r w:rsidRPr="002256E0">
        <w:rPr>
          <w:rFonts w:asciiTheme="majorHAnsi" w:eastAsia="Nexa Light" w:hAnsiTheme="majorHAnsi" w:cstheme="majorHAnsi"/>
          <w:sz w:val="22"/>
          <w:szCs w:val="22"/>
        </w:rPr>
        <w:t>2.5.1 Método de amostragem do inventário da vegetação;</w:t>
      </w:r>
    </w:p>
    <w:p w:rsidR="00A27291" w:rsidRPr="002256E0" w:rsidRDefault="00A27291" w:rsidP="001A0D22">
      <w:pP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sz w:val="22"/>
          <w:szCs w:val="22"/>
        </w:rPr>
      </w:pPr>
      <w:r w:rsidRPr="002256E0">
        <w:rPr>
          <w:rFonts w:asciiTheme="majorHAnsi" w:eastAsia="Nexa Light" w:hAnsiTheme="majorHAnsi" w:cstheme="majorHAnsi"/>
          <w:sz w:val="22"/>
          <w:szCs w:val="22"/>
        </w:rPr>
        <w:t>2.5.2 Área objeto de amostragem;</w:t>
      </w:r>
    </w:p>
    <w:p w:rsidR="00A27291" w:rsidRPr="002256E0" w:rsidRDefault="00A27291" w:rsidP="001A0D22">
      <w:pP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sz w:val="22"/>
          <w:szCs w:val="22"/>
        </w:rPr>
      </w:pPr>
      <w:r w:rsidRPr="002256E0">
        <w:rPr>
          <w:rFonts w:asciiTheme="majorHAnsi" w:eastAsia="Nexa Light" w:hAnsiTheme="majorHAnsi" w:cstheme="majorHAnsi"/>
          <w:sz w:val="22"/>
          <w:szCs w:val="22"/>
        </w:rPr>
        <w:lastRenderedPageBreak/>
        <w:t>2.5.3 Tamanho, forma e arranjo das parcelas;</w:t>
      </w:r>
    </w:p>
    <w:p w:rsidR="00A27291" w:rsidRPr="002256E0" w:rsidRDefault="00A27291" w:rsidP="001A0D22">
      <w:pP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sz w:val="22"/>
          <w:szCs w:val="22"/>
        </w:rPr>
      </w:pPr>
      <w:r w:rsidRPr="002256E0">
        <w:rPr>
          <w:rFonts w:asciiTheme="majorHAnsi" w:eastAsia="Nexa Light" w:hAnsiTheme="majorHAnsi" w:cstheme="majorHAnsi"/>
          <w:sz w:val="22"/>
          <w:szCs w:val="22"/>
        </w:rPr>
        <w:t>2.5.4 Área total amostrada;</w:t>
      </w:r>
    </w:p>
    <w:p w:rsidR="00A27291" w:rsidRPr="002256E0" w:rsidRDefault="00A27291" w:rsidP="001A0D22">
      <w:pP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sz w:val="22"/>
          <w:szCs w:val="22"/>
        </w:rPr>
      </w:pPr>
      <w:r w:rsidRPr="002256E0">
        <w:rPr>
          <w:rFonts w:asciiTheme="majorHAnsi" w:eastAsia="Nexa Light" w:hAnsiTheme="majorHAnsi" w:cstheme="majorHAnsi"/>
          <w:sz w:val="22"/>
          <w:szCs w:val="22"/>
        </w:rPr>
        <w:t>2.5.5 Percentual amostrado;</w:t>
      </w:r>
    </w:p>
    <w:p w:rsidR="00A27291" w:rsidRPr="002256E0" w:rsidRDefault="00A27291" w:rsidP="001A0D22">
      <w:pP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sz w:val="22"/>
          <w:szCs w:val="22"/>
        </w:rPr>
      </w:pPr>
      <w:r w:rsidRPr="002256E0">
        <w:rPr>
          <w:rFonts w:asciiTheme="majorHAnsi" w:eastAsia="Nexa Light" w:hAnsiTheme="majorHAnsi" w:cstheme="majorHAnsi"/>
          <w:sz w:val="22"/>
          <w:szCs w:val="22"/>
        </w:rPr>
        <w:t>2.5.6 Coleta de dados;</w:t>
      </w:r>
    </w:p>
    <w:p w:rsidR="00A27291" w:rsidRPr="002256E0" w:rsidRDefault="00A27291" w:rsidP="001A0D22">
      <w:pP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sz w:val="22"/>
          <w:szCs w:val="22"/>
        </w:rPr>
      </w:pPr>
      <w:r w:rsidRPr="002256E0">
        <w:rPr>
          <w:rFonts w:asciiTheme="majorHAnsi" w:eastAsia="Nexa Light" w:hAnsiTheme="majorHAnsi" w:cstheme="majorHAnsi"/>
          <w:sz w:val="22"/>
          <w:szCs w:val="22"/>
        </w:rPr>
        <w:t xml:space="preserve">2.5.7 Identificação dos indivíduos amostrados; </w:t>
      </w:r>
    </w:p>
    <w:p w:rsidR="00A27291" w:rsidRPr="002256E0" w:rsidRDefault="00A27291" w:rsidP="001A0D22">
      <w:pP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sz w:val="22"/>
          <w:szCs w:val="22"/>
        </w:rPr>
      </w:pPr>
      <w:r w:rsidRPr="002256E0">
        <w:rPr>
          <w:rFonts w:asciiTheme="majorHAnsi" w:eastAsia="Nexa Light" w:hAnsiTheme="majorHAnsi" w:cstheme="majorHAnsi"/>
          <w:sz w:val="22"/>
          <w:szCs w:val="22"/>
        </w:rPr>
        <w:t>2.5.8 Planilha digital dos dados coletados;</w:t>
      </w:r>
    </w:p>
    <w:p w:rsidR="00A27291" w:rsidRPr="002256E0" w:rsidRDefault="00A27291" w:rsidP="001A0D22">
      <w:pP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sz w:val="22"/>
          <w:szCs w:val="22"/>
        </w:rPr>
      </w:pPr>
      <w:r w:rsidRPr="002256E0">
        <w:rPr>
          <w:rFonts w:asciiTheme="majorHAnsi" w:eastAsia="Nexa Light" w:hAnsiTheme="majorHAnsi" w:cstheme="majorHAnsi"/>
          <w:sz w:val="22"/>
          <w:szCs w:val="22"/>
        </w:rPr>
        <w:t>2.5.9 Caracterização das espécies inventariadas;</w:t>
      </w:r>
    </w:p>
    <w:p w:rsidR="00A27291" w:rsidRPr="002256E0" w:rsidRDefault="00A27291" w:rsidP="001A0D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240"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eastAsia="Nexa Light" w:hAnsiTheme="majorHAnsi" w:cstheme="majorHAnsi"/>
          <w:color w:val="000000"/>
          <w:sz w:val="22"/>
          <w:szCs w:val="22"/>
        </w:rPr>
      </w:pPr>
      <w:r w:rsidRPr="002256E0">
        <w:rPr>
          <w:rFonts w:asciiTheme="majorHAnsi" w:eastAsia="Nexa Light" w:hAnsiTheme="majorHAnsi" w:cstheme="majorHAnsi"/>
          <w:color w:val="000000"/>
          <w:sz w:val="22"/>
          <w:szCs w:val="22"/>
        </w:rPr>
        <w:t>Critérios: Consideram-se indivíduos jovens das espécies arbóreas previstas no inciso II Art. 5º, aquelas com altura inferior a 5 metros ou diâmetro a altura do peito-DAP menor ou igual a 5 cm.</w:t>
      </w:r>
    </w:p>
    <w:p w:rsidR="00A27291" w:rsidRPr="002256E0" w:rsidRDefault="00A27291" w:rsidP="001A0D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240"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eastAsia="Nexa Light" w:hAnsiTheme="majorHAnsi" w:cstheme="majorHAnsi"/>
          <w:color w:val="000000"/>
          <w:sz w:val="22"/>
          <w:szCs w:val="22"/>
        </w:rPr>
      </w:pPr>
      <w:r w:rsidRPr="002256E0">
        <w:rPr>
          <w:rFonts w:asciiTheme="majorHAnsi" w:eastAsia="Nexa Light" w:hAnsiTheme="majorHAnsi" w:cstheme="majorHAnsi"/>
          <w:color w:val="000000"/>
          <w:sz w:val="22"/>
          <w:szCs w:val="22"/>
        </w:rPr>
        <w:t>Não serão consideradas áreas passíveis de manejo para restauração ou manutenção de formações campestres do bioma Pantanal, àquelas que possuam formação florestal com dominância de árvores com altura acima de 5 metros e copas que se tocam.</w:t>
      </w:r>
    </w:p>
    <w:p w:rsidR="00A27291" w:rsidRPr="002256E0" w:rsidRDefault="00A27291" w:rsidP="001A0D22">
      <w:pP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sz w:val="22"/>
          <w:szCs w:val="22"/>
        </w:rPr>
      </w:pPr>
      <w:r w:rsidRPr="002256E0">
        <w:rPr>
          <w:rFonts w:asciiTheme="majorHAnsi" w:eastAsia="Nexa Light" w:hAnsiTheme="majorHAnsi" w:cstheme="majorHAnsi"/>
          <w:sz w:val="22"/>
          <w:szCs w:val="22"/>
        </w:rPr>
        <w:t>2.5.10 Mapa contendo as parcelas do inventário com no mínimo uma coordenada geográfica do início da parcela;</w:t>
      </w:r>
    </w:p>
    <w:p w:rsidR="00A27291" w:rsidRPr="002256E0" w:rsidRDefault="00A27291" w:rsidP="001A0D22">
      <w:pP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sz w:val="22"/>
          <w:szCs w:val="22"/>
        </w:rPr>
      </w:pPr>
      <w:r w:rsidRPr="002256E0">
        <w:rPr>
          <w:rFonts w:asciiTheme="majorHAnsi" w:eastAsia="Nexa Light" w:hAnsiTheme="majorHAnsi" w:cstheme="majorHAnsi"/>
          <w:sz w:val="22"/>
          <w:szCs w:val="22"/>
        </w:rPr>
        <w:t xml:space="preserve">2.5.11 Relatório fotográfico com coordenadas geográficas; </w:t>
      </w:r>
    </w:p>
    <w:p w:rsidR="00A27291" w:rsidRPr="002256E0" w:rsidRDefault="00A27291" w:rsidP="001A0D22">
      <w:pP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sz w:val="22"/>
          <w:szCs w:val="22"/>
        </w:rPr>
      </w:pPr>
      <w:r w:rsidRPr="002256E0">
        <w:rPr>
          <w:rFonts w:asciiTheme="majorHAnsi" w:eastAsia="Nexa Light" w:hAnsiTheme="majorHAnsi" w:cstheme="majorHAnsi"/>
          <w:sz w:val="22"/>
          <w:szCs w:val="22"/>
        </w:rPr>
        <w:t>2.5.12 Outras informações conforme a necessidade.</w:t>
      </w:r>
    </w:p>
    <w:p w:rsidR="00A27291" w:rsidRPr="007B6CD8" w:rsidRDefault="00A27291" w:rsidP="001A0D22">
      <w:pP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b/>
          <w:sz w:val="22"/>
          <w:szCs w:val="22"/>
          <w:u w:val="single"/>
        </w:rPr>
      </w:pPr>
      <w:r w:rsidRPr="007B6CD8">
        <w:rPr>
          <w:rFonts w:asciiTheme="majorHAnsi" w:eastAsia="Nexa Light" w:hAnsiTheme="majorHAnsi" w:cstheme="majorHAnsi"/>
          <w:b/>
          <w:sz w:val="22"/>
          <w:szCs w:val="22"/>
          <w:u w:val="single"/>
        </w:rPr>
        <w:t>2.6 Resultados</w:t>
      </w:r>
    </w:p>
    <w:p w:rsidR="00A27291" w:rsidRPr="002256E0" w:rsidRDefault="00A27291" w:rsidP="001A0D22">
      <w:pP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sz w:val="22"/>
          <w:szCs w:val="22"/>
        </w:rPr>
      </w:pPr>
      <w:r w:rsidRPr="002256E0">
        <w:rPr>
          <w:rFonts w:asciiTheme="majorHAnsi" w:eastAsia="Nexa Light" w:hAnsiTheme="majorHAnsi" w:cstheme="majorHAnsi"/>
          <w:sz w:val="22"/>
          <w:szCs w:val="22"/>
        </w:rPr>
        <w:t>2.6.1 Planilha digital contendo os resultados do inventário da vegetação;</w:t>
      </w:r>
    </w:p>
    <w:p w:rsidR="00A27291" w:rsidRPr="002256E0" w:rsidRDefault="00A27291" w:rsidP="001A0D22">
      <w:pP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sz w:val="22"/>
          <w:szCs w:val="22"/>
        </w:rPr>
      </w:pPr>
      <w:r w:rsidRPr="002256E0">
        <w:rPr>
          <w:rFonts w:asciiTheme="majorHAnsi" w:eastAsia="Nexa Light" w:hAnsiTheme="majorHAnsi" w:cstheme="majorHAnsi"/>
          <w:sz w:val="22"/>
          <w:szCs w:val="22"/>
        </w:rPr>
        <w:t>2.6.2 Características da cobertura vegetal inventariada;</w:t>
      </w:r>
    </w:p>
    <w:p w:rsidR="00A27291" w:rsidRPr="002256E0" w:rsidRDefault="00A27291" w:rsidP="001A0D22">
      <w:pP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sz w:val="22"/>
          <w:szCs w:val="22"/>
        </w:rPr>
      </w:pPr>
      <w:r w:rsidRPr="002256E0">
        <w:rPr>
          <w:rFonts w:asciiTheme="majorHAnsi" w:eastAsia="Nexa Light" w:hAnsiTheme="majorHAnsi" w:cstheme="majorHAnsi"/>
          <w:sz w:val="22"/>
          <w:szCs w:val="22"/>
        </w:rPr>
        <w:t>2.6.3 Estatísticas do inventário amostral;</w:t>
      </w:r>
    </w:p>
    <w:p w:rsidR="00A27291" w:rsidRPr="002256E0" w:rsidRDefault="00A27291" w:rsidP="001A0D22">
      <w:pP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sz w:val="22"/>
          <w:szCs w:val="22"/>
        </w:rPr>
      </w:pPr>
      <w:r w:rsidRPr="002256E0">
        <w:rPr>
          <w:rFonts w:asciiTheme="majorHAnsi" w:eastAsia="Nexa Light" w:hAnsiTheme="majorHAnsi" w:cstheme="majorHAnsi"/>
          <w:sz w:val="22"/>
          <w:szCs w:val="22"/>
        </w:rPr>
        <w:t>2.6.4 Volumetria das parcelas;</w:t>
      </w:r>
    </w:p>
    <w:p w:rsidR="00A27291" w:rsidRPr="002256E0" w:rsidRDefault="00A27291" w:rsidP="001A0D22">
      <w:pP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sz w:val="22"/>
          <w:szCs w:val="22"/>
        </w:rPr>
      </w:pPr>
      <w:r w:rsidRPr="002256E0">
        <w:rPr>
          <w:rFonts w:asciiTheme="majorHAnsi" w:eastAsia="Nexa Light" w:hAnsiTheme="majorHAnsi" w:cstheme="majorHAnsi"/>
          <w:sz w:val="22"/>
          <w:szCs w:val="22"/>
        </w:rPr>
        <w:t>2.6.5 Volumetria total da área do projeto;</w:t>
      </w:r>
    </w:p>
    <w:p w:rsidR="00A27291" w:rsidRPr="002256E0" w:rsidRDefault="00A27291" w:rsidP="001A0D22">
      <w:pP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sz w:val="22"/>
          <w:szCs w:val="22"/>
        </w:rPr>
      </w:pPr>
      <w:r w:rsidRPr="002256E0">
        <w:rPr>
          <w:rFonts w:asciiTheme="majorHAnsi" w:eastAsia="Nexa Light" w:hAnsiTheme="majorHAnsi" w:cstheme="majorHAnsi"/>
          <w:sz w:val="22"/>
          <w:szCs w:val="22"/>
        </w:rPr>
        <w:t>2.6.6 Outros resultados conforme a necessidade;</w:t>
      </w:r>
    </w:p>
    <w:p w:rsidR="00A27291" w:rsidRPr="007B6CD8" w:rsidRDefault="00A27291" w:rsidP="001A0D22">
      <w:pP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b/>
          <w:sz w:val="22"/>
          <w:szCs w:val="22"/>
          <w:u w:val="single"/>
        </w:rPr>
      </w:pPr>
      <w:r w:rsidRPr="007B6CD8">
        <w:rPr>
          <w:rFonts w:asciiTheme="majorHAnsi" w:eastAsia="Nexa Light" w:hAnsiTheme="majorHAnsi" w:cstheme="majorHAnsi"/>
          <w:b/>
          <w:sz w:val="22"/>
          <w:szCs w:val="22"/>
          <w:u w:val="single"/>
        </w:rPr>
        <w:t>2.7 Metodologia para Execução da Restauração da Pastagem</w:t>
      </w:r>
      <w:r w:rsidR="004F7569" w:rsidRPr="007B6CD8">
        <w:rPr>
          <w:rFonts w:asciiTheme="majorHAnsi" w:eastAsia="Nexa Light" w:hAnsiTheme="majorHAnsi" w:cstheme="majorHAnsi"/>
          <w:b/>
          <w:sz w:val="22"/>
          <w:szCs w:val="22"/>
          <w:u w:val="single"/>
        </w:rPr>
        <w:t xml:space="preserve"> Nativa</w:t>
      </w:r>
    </w:p>
    <w:p w:rsidR="00A27291" w:rsidRPr="002256E0" w:rsidRDefault="00A27291" w:rsidP="001A0D22">
      <w:pP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sz w:val="22"/>
          <w:szCs w:val="22"/>
        </w:rPr>
      </w:pPr>
      <w:r w:rsidRPr="002256E0">
        <w:rPr>
          <w:rFonts w:asciiTheme="majorHAnsi" w:eastAsia="Nexa Light" w:hAnsiTheme="majorHAnsi" w:cstheme="majorHAnsi"/>
          <w:sz w:val="22"/>
          <w:szCs w:val="22"/>
        </w:rPr>
        <w:t xml:space="preserve">2.7.1 Materiais e equipamentos a serem utilizados; </w:t>
      </w:r>
    </w:p>
    <w:p w:rsidR="00A27291" w:rsidRPr="002256E0" w:rsidRDefault="00A27291" w:rsidP="001A0D22">
      <w:pP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sz w:val="22"/>
          <w:szCs w:val="22"/>
        </w:rPr>
      </w:pPr>
      <w:r w:rsidRPr="002256E0">
        <w:rPr>
          <w:rFonts w:asciiTheme="majorHAnsi" w:eastAsia="Nexa Light" w:hAnsiTheme="majorHAnsi" w:cstheme="majorHAnsi"/>
          <w:sz w:val="22"/>
          <w:szCs w:val="22"/>
        </w:rPr>
        <w:lastRenderedPageBreak/>
        <w:t>2.7.2 Tipos de mão-de-obra;</w:t>
      </w:r>
    </w:p>
    <w:p w:rsidR="00A27291" w:rsidRPr="002256E0" w:rsidRDefault="00A27291" w:rsidP="001A0D22">
      <w:pP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sz w:val="22"/>
          <w:szCs w:val="22"/>
        </w:rPr>
      </w:pPr>
      <w:r w:rsidRPr="002256E0">
        <w:rPr>
          <w:rFonts w:asciiTheme="majorHAnsi" w:eastAsia="Nexa Light" w:hAnsiTheme="majorHAnsi" w:cstheme="majorHAnsi"/>
          <w:sz w:val="22"/>
          <w:szCs w:val="22"/>
        </w:rPr>
        <w:t xml:space="preserve">2.7.3 </w:t>
      </w:r>
      <w:r w:rsidR="00413C2A" w:rsidRPr="002256E0">
        <w:rPr>
          <w:rFonts w:asciiTheme="majorHAnsi" w:eastAsia="Nexa Light" w:hAnsiTheme="majorHAnsi" w:cstheme="majorHAnsi"/>
          <w:sz w:val="22"/>
          <w:szCs w:val="22"/>
        </w:rPr>
        <w:t xml:space="preserve">Cronogramas físico e financeiro com no máximo 36 meses. Em caso de áreas para restauração </w:t>
      </w:r>
      <w:r w:rsidR="004F7569" w:rsidRPr="002256E0">
        <w:rPr>
          <w:rFonts w:asciiTheme="majorHAnsi" w:eastAsia="Nexa Light" w:hAnsiTheme="majorHAnsi" w:cstheme="majorHAnsi"/>
          <w:sz w:val="22"/>
          <w:szCs w:val="22"/>
        </w:rPr>
        <w:t xml:space="preserve">de vegetação nativa </w:t>
      </w:r>
      <w:r w:rsidR="00413C2A" w:rsidRPr="002256E0">
        <w:rPr>
          <w:rFonts w:asciiTheme="majorHAnsi" w:eastAsia="Nexa Light" w:hAnsiTheme="majorHAnsi" w:cstheme="majorHAnsi"/>
          <w:sz w:val="22"/>
          <w:szCs w:val="22"/>
        </w:rPr>
        <w:t>superiores a 1000 hectares, deverá ser apresentado cronogramas para cada UT do projeto separadamente.</w:t>
      </w:r>
    </w:p>
    <w:p w:rsidR="00A27291" w:rsidRPr="002256E0" w:rsidRDefault="00A27291" w:rsidP="001A0D22">
      <w:pP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sz w:val="22"/>
          <w:szCs w:val="22"/>
        </w:rPr>
      </w:pPr>
      <w:r w:rsidRPr="002256E0">
        <w:rPr>
          <w:rFonts w:asciiTheme="majorHAnsi" w:eastAsia="Nexa Light" w:hAnsiTheme="majorHAnsi" w:cstheme="majorHAnsi"/>
          <w:sz w:val="22"/>
          <w:szCs w:val="22"/>
        </w:rPr>
        <w:t>2.7.4 Análise ambiental, técnica e econômica;</w:t>
      </w:r>
    </w:p>
    <w:p w:rsidR="00A27291" w:rsidRPr="002256E0" w:rsidRDefault="00A27291" w:rsidP="001A0D22">
      <w:pP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sz w:val="22"/>
          <w:szCs w:val="22"/>
        </w:rPr>
      </w:pPr>
      <w:r w:rsidRPr="002256E0">
        <w:rPr>
          <w:rFonts w:asciiTheme="majorHAnsi" w:eastAsia="Nexa Light" w:hAnsiTheme="majorHAnsi" w:cstheme="majorHAnsi"/>
          <w:sz w:val="22"/>
          <w:szCs w:val="22"/>
        </w:rPr>
        <w:t>2.7.5 Descrição de onde será incorporado o material lenhoso;</w:t>
      </w:r>
    </w:p>
    <w:p w:rsidR="00A27291" w:rsidRPr="002256E0" w:rsidRDefault="00A27291" w:rsidP="001A0D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240"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eastAsia="Nexa Light" w:hAnsiTheme="majorHAnsi" w:cstheme="majorHAnsi"/>
          <w:color w:val="000000"/>
          <w:sz w:val="22"/>
          <w:szCs w:val="22"/>
        </w:rPr>
      </w:pPr>
      <w:r w:rsidRPr="002256E0">
        <w:rPr>
          <w:rFonts w:asciiTheme="majorHAnsi" w:eastAsia="Nexa Light" w:hAnsiTheme="majorHAnsi" w:cstheme="majorHAnsi"/>
          <w:color w:val="000000"/>
          <w:sz w:val="22"/>
          <w:szCs w:val="22"/>
        </w:rPr>
        <w:t>Critérios:  O material lenhoso oriundo da remoção de espécies arbóreas e arbustivas de campos, após processo de restauração da fitofisionomia campestre, deve ser depositado em áreas abertas, para posterior queima autorizad</w:t>
      </w:r>
      <w:r w:rsidRPr="002256E0">
        <w:rPr>
          <w:rFonts w:asciiTheme="majorHAnsi" w:eastAsia="Nexa Light" w:hAnsiTheme="majorHAnsi" w:cstheme="majorHAnsi"/>
          <w:sz w:val="22"/>
          <w:szCs w:val="22"/>
        </w:rPr>
        <w:t>a, mediante autorização</w:t>
      </w:r>
      <w:r w:rsidRPr="002256E0">
        <w:rPr>
          <w:rFonts w:asciiTheme="majorHAnsi" w:eastAsia="Nexa Light" w:hAnsiTheme="majorHAnsi" w:cstheme="majorHAnsi"/>
          <w:color w:val="000000"/>
          <w:sz w:val="22"/>
          <w:szCs w:val="22"/>
        </w:rPr>
        <w:t xml:space="preserve"> da Coordenadoria de Reflorestamento e Autorização de Queima Controlada, conforme TRP específico, ou para ser deixado em processo de decomposição natural, empilhado longe de ambientes florestais ou de cerrado;</w:t>
      </w:r>
    </w:p>
    <w:p w:rsidR="00A27291" w:rsidRPr="002256E0" w:rsidRDefault="00A27291" w:rsidP="001A0D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240"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eastAsia="Nexa Light" w:hAnsiTheme="majorHAnsi" w:cstheme="majorHAnsi"/>
          <w:color w:val="000000"/>
          <w:sz w:val="22"/>
          <w:szCs w:val="22"/>
        </w:rPr>
      </w:pPr>
      <w:r w:rsidRPr="002256E0">
        <w:rPr>
          <w:rFonts w:asciiTheme="majorHAnsi" w:eastAsia="Nexa Light" w:hAnsiTheme="majorHAnsi" w:cstheme="majorHAnsi"/>
          <w:color w:val="000000"/>
          <w:sz w:val="22"/>
          <w:szCs w:val="22"/>
        </w:rPr>
        <w:t>Deve ser proibido depositar esse material no interior ou nas bordas de ambientes florestais e de cerrado, em cordilheiras, capões e murundus, por constituir material altamente inflamável capaz de gerar incêndios danosos neste tipo de ambiente.</w:t>
      </w:r>
    </w:p>
    <w:p w:rsidR="00A27291" w:rsidRPr="007B6CD8" w:rsidRDefault="00A27291" w:rsidP="001A0D22">
      <w:pP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b/>
          <w:sz w:val="22"/>
          <w:szCs w:val="22"/>
          <w:u w:val="single"/>
        </w:rPr>
      </w:pPr>
      <w:r w:rsidRPr="007B6CD8">
        <w:rPr>
          <w:rFonts w:asciiTheme="majorHAnsi" w:eastAsia="Nexa Light" w:hAnsiTheme="majorHAnsi" w:cstheme="majorHAnsi"/>
          <w:b/>
          <w:sz w:val="22"/>
          <w:szCs w:val="22"/>
          <w:u w:val="single"/>
        </w:rPr>
        <w:t>2.8 Considerações Finais (caso necessário)</w:t>
      </w:r>
    </w:p>
    <w:p w:rsidR="00A27291" w:rsidRPr="007B6CD8" w:rsidRDefault="00A27291" w:rsidP="001A0D22">
      <w:pP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b/>
          <w:sz w:val="22"/>
          <w:szCs w:val="22"/>
          <w:u w:val="single"/>
        </w:rPr>
      </w:pPr>
      <w:r w:rsidRPr="007B6CD8">
        <w:rPr>
          <w:rFonts w:asciiTheme="majorHAnsi" w:eastAsia="Nexa Light" w:hAnsiTheme="majorHAnsi" w:cstheme="majorHAnsi"/>
          <w:b/>
          <w:sz w:val="22"/>
          <w:szCs w:val="22"/>
          <w:u w:val="single"/>
        </w:rPr>
        <w:t xml:space="preserve">2.9 Conclusões </w:t>
      </w:r>
    </w:p>
    <w:p w:rsidR="00A27291" w:rsidRPr="007B6CD8" w:rsidRDefault="00A27291" w:rsidP="001A0D22">
      <w:pPr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b/>
          <w:sz w:val="22"/>
          <w:szCs w:val="22"/>
          <w:u w:val="single"/>
        </w:rPr>
      </w:pPr>
      <w:r w:rsidRPr="007B6CD8">
        <w:rPr>
          <w:rFonts w:asciiTheme="majorHAnsi" w:eastAsia="Nexa Light" w:hAnsiTheme="majorHAnsi" w:cstheme="majorHAnsi"/>
          <w:b/>
          <w:sz w:val="22"/>
          <w:szCs w:val="22"/>
          <w:u w:val="single"/>
        </w:rPr>
        <w:t xml:space="preserve">2.10 Referências  </w:t>
      </w:r>
    </w:p>
    <w:p w:rsidR="00A27291" w:rsidRDefault="00A27291" w:rsidP="001A0D22">
      <w:pPr>
        <w:tabs>
          <w:tab w:val="left" w:pos="567"/>
        </w:tabs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b/>
          <w:sz w:val="22"/>
          <w:szCs w:val="22"/>
          <w:u w:val="single"/>
        </w:rPr>
      </w:pPr>
      <w:r w:rsidRPr="007B6CD8">
        <w:rPr>
          <w:rFonts w:asciiTheme="majorHAnsi" w:eastAsia="Nexa Light" w:hAnsiTheme="majorHAnsi" w:cstheme="majorHAnsi"/>
          <w:b/>
          <w:sz w:val="22"/>
          <w:szCs w:val="22"/>
          <w:u w:val="single"/>
        </w:rPr>
        <w:t>2.11 Anexos (caso necessário)</w:t>
      </w:r>
    </w:p>
    <w:p w:rsidR="001A0D22" w:rsidRDefault="001A0D22" w:rsidP="001A0D22">
      <w:pPr>
        <w:tabs>
          <w:tab w:val="left" w:pos="567"/>
        </w:tabs>
        <w:spacing w:after="240" w:line="276" w:lineRule="auto"/>
        <w:ind w:left="0" w:hanging="2"/>
        <w:jc w:val="both"/>
        <w:rPr>
          <w:rFonts w:asciiTheme="majorHAnsi" w:eastAsia="Nexa Light" w:hAnsiTheme="majorHAnsi" w:cstheme="majorHAnsi"/>
          <w:b/>
          <w:sz w:val="22"/>
          <w:szCs w:val="22"/>
          <w:u w:val="single"/>
        </w:rPr>
      </w:pPr>
      <w:bookmarkStart w:id="2" w:name="_GoBack"/>
      <w:bookmarkEnd w:id="2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55"/>
      </w:tblGrid>
      <w:tr w:rsidR="001A0D22" w:rsidTr="001A0D22">
        <w:tc>
          <w:tcPr>
            <w:tcW w:w="9055" w:type="dxa"/>
          </w:tcPr>
          <w:p w:rsidR="001A0D22" w:rsidRDefault="001A0D22" w:rsidP="001A0D22">
            <w:pPr>
              <w:tabs>
                <w:tab w:val="left" w:pos="567"/>
              </w:tabs>
              <w:spacing w:after="240" w:line="276" w:lineRule="auto"/>
              <w:ind w:leftChars="0" w:left="0" w:firstLineChars="0" w:firstLine="0"/>
              <w:jc w:val="both"/>
              <w:rPr>
                <w:rFonts w:asciiTheme="majorHAnsi" w:eastAsia="Nexa Light" w:hAnsiTheme="majorHAnsi" w:cstheme="majorHAnsi"/>
                <w:b/>
                <w:sz w:val="22"/>
                <w:szCs w:val="22"/>
              </w:rPr>
            </w:pPr>
            <w:r w:rsidRPr="00931D82">
              <w:rPr>
                <w:rFonts w:asciiTheme="majorHAnsi" w:eastAsia="Nexa Light" w:hAnsiTheme="majorHAnsi" w:cstheme="majorHAnsi"/>
                <w:b/>
                <w:sz w:val="22"/>
                <w:szCs w:val="22"/>
                <w:u w:val="single"/>
              </w:rPr>
              <w:t>Nota</w:t>
            </w:r>
            <w:r>
              <w:rPr>
                <w:rFonts w:asciiTheme="majorHAnsi" w:eastAsia="Nexa Light" w:hAnsiTheme="majorHAnsi" w:cstheme="majorHAnsi"/>
                <w:b/>
                <w:sz w:val="22"/>
                <w:szCs w:val="22"/>
              </w:rPr>
              <w:t>:</w:t>
            </w:r>
          </w:p>
          <w:p w:rsidR="001A0D22" w:rsidRPr="002256E0" w:rsidRDefault="001A0D22" w:rsidP="001A0D22">
            <w:pPr>
              <w:spacing w:after="240" w:line="276" w:lineRule="auto"/>
              <w:ind w:left="0" w:hanging="2"/>
              <w:jc w:val="both"/>
              <w:rPr>
                <w:rFonts w:asciiTheme="majorHAnsi" w:eastAsia="Nexa Light" w:hAnsiTheme="majorHAnsi" w:cstheme="majorHAnsi"/>
                <w:b/>
                <w:sz w:val="22"/>
                <w:szCs w:val="22"/>
                <w:u w:val="single"/>
              </w:rPr>
            </w:pPr>
            <w:r w:rsidRPr="00EA3628">
              <w:rPr>
                <w:rFonts w:asciiTheme="majorHAnsi" w:eastAsia="Nexa Light" w:hAnsiTheme="majorHAnsi" w:cstheme="majorHAnsi"/>
                <w:b/>
                <w:sz w:val="22"/>
                <w:szCs w:val="22"/>
              </w:rPr>
              <w:t xml:space="preserve">Para a elaboração e apresentação do projeto de restauração campestre, o responsável deve, no mínimo, incluir as informações especificadas </w:t>
            </w:r>
            <w:r>
              <w:rPr>
                <w:rFonts w:asciiTheme="majorHAnsi" w:eastAsia="Nexa Light" w:hAnsiTheme="majorHAnsi" w:cstheme="majorHAnsi"/>
                <w:b/>
                <w:sz w:val="22"/>
                <w:szCs w:val="22"/>
              </w:rPr>
              <w:t>d</w:t>
            </w:r>
            <w:r w:rsidRPr="00EA3628">
              <w:rPr>
                <w:rFonts w:asciiTheme="majorHAnsi" w:eastAsia="Nexa Light" w:hAnsiTheme="majorHAnsi" w:cstheme="majorHAnsi"/>
                <w:b/>
                <w:sz w:val="22"/>
                <w:szCs w:val="22"/>
              </w:rPr>
              <w:t>este Termo de Referência. Além disso, deve seguir as diretrizes do Manual para Elaboração de Projeto de Restauração da Vegetação Campestre Nativa do Pantanal – Versão 1.0 / CCRE / SUBIO / 2024, disponível no site da SEMA-MT.</w:t>
            </w:r>
          </w:p>
          <w:p w:rsidR="001A0D22" w:rsidRDefault="001A0D22" w:rsidP="001A0D22">
            <w:pPr>
              <w:tabs>
                <w:tab w:val="left" w:pos="567"/>
              </w:tabs>
              <w:spacing w:after="240" w:line="276" w:lineRule="auto"/>
              <w:ind w:leftChars="0" w:left="0" w:firstLineChars="0" w:firstLine="0"/>
              <w:jc w:val="both"/>
              <w:rPr>
                <w:rFonts w:asciiTheme="majorHAnsi" w:eastAsia="Nexa Light" w:hAnsiTheme="majorHAnsi" w:cstheme="majorHAnsi"/>
                <w:b/>
                <w:sz w:val="22"/>
                <w:szCs w:val="22"/>
                <w:u w:val="single"/>
              </w:rPr>
            </w:pPr>
          </w:p>
        </w:tc>
      </w:tr>
    </w:tbl>
    <w:p w:rsidR="00A27291" w:rsidRPr="002256E0" w:rsidRDefault="00A27291" w:rsidP="001A0D22">
      <w:pPr>
        <w:spacing w:after="240" w:line="276" w:lineRule="auto"/>
        <w:ind w:left="0" w:hanging="2"/>
        <w:jc w:val="center"/>
        <w:rPr>
          <w:rFonts w:asciiTheme="majorHAnsi" w:eastAsia="Nexa ligth" w:hAnsiTheme="majorHAnsi" w:cstheme="majorHAnsi"/>
          <w:sz w:val="22"/>
          <w:szCs w:val="22"/>
          <w:shd w:val="clear" w:color="auto" w:fill="F3F3F3"/>
        </w:rPr>
      </w:pPr>
    </w:p>
    <w:sectPr w:rsidR="00A27291" w:rsidRPr="002256E0">
      <w:headerReference w:type="default" r:id="rId9"/>
      <w:footerReference w:type="default" r:id="rId10"/>
      <w:pgSz w:w="11900" w:h="16840"/>
      <w:pgMar w:top="2552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73E" w:rsidRDefault="00117D13">
      <w:pPr>
        <w:spacing w:line="240" w:lineRule="auto"/>
        <w:ind w:left="0" w:hanging="2"/>
      </w:pPr>
      <w:r>
        <w:separator/>
      </w:r>
    </w:p>
  </w:endnote>
  <w:endnote w:type="continuationSeparator" w:id="0">
    <w:p w:rsidR="0068173E" w:rsidRDefault="00117D1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xa Light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Noto Sans Symbols">
    <w:altName w:val="MV Bol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xa ligth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81D" w:rsidRDefault="00117D13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9072"/>
      </w:tabs>
      <w:spacing w:line="240" w:lineRule="auto"/>
      <w:ind w:left="0" w:right="-433" w:hanging="2"/>
      <w:jc w:val="both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ab/>
    </w:r>
    <w:r>
      <w:rPr>
        <w:rFonts w:ascii="Calibri" w:eastAsia="Calibri" w:hAnsi="Calibri" w:cs="Calibri"/>
        <w:color w:val="000000"/>
        <w:sz w:val="16"/>
        <w:szCs w:val="16"/>
      </w:rPr>
      <w:tab/>
      <w:t xml:space="preserve">Página </w:t>
    </w: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1A0D22">
      <w:rPr>
        <w:rFonts w:ascii="Calibri" w:eastAsia="Calibri" w:hAnsi="Calibri" w:cs="Calibri"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1A0D22">
      <w:rPr>
        <w:noProof/>
        <w:color w:val="000000"/>
      </w:rPr>
      <w:t>4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73E" w:rsidRDefault="00117D13">
      <w:pPr>
        <w:spacing w:line="240" w:lineRule="auto"/>
        <w:ind w:left="0" w:hanging="2"/>
      </w:pPr>
      <w:r>
        <w:separator/>
      </w:r>
    </w:p>
  </w:footnote>
  <w:footnote w:type="continuationSeparator" w:id="0">
    <w:p w:rsidR="0068173E" w:rsidRDefault="00117D13">
      <w:pPr>
        <w:spacing w:line="240" w:lineRule="auto"/>
        <w:ind w:left="0" w:hanging="2"/>
      </w:pPr>
      <w:r>
        <w:continuationSeparator/>
      </w:r>
    </w:p>
  </w:footnote>
  <w:footnote w:id="1">
    <w:p w:rsidR="002256E0" w:rsidRDefault="002256E0">
      <w:pPr>
        <w:pStyle w:val="Textodenotaderodap"/>
        <w:ind w:left="0" w:hanging="2"/>
      </w:pPr>
      <w:r>
        <w:rPr>
          <w:rStyle w:val="Refdenotaderodap"/>
        </w:rPr>
        <w:footnoteRef/>
      </w:r>
      <w:r>
        <w:t xml:space="preserve"> </w:t>
      </w:r>
      <w:r>
        <w:rPr>
          <w:b/>
        </w:rPr>
        <w:t>Última atualização do TRP Nº 02</w:t>
      </w:r>
      <w:r w:rsidRPr="006517EA">
        <w:rPr>
          <w:b/>
        </w:rPr>
        <w:t xml:space="preserve"> </w:t>
      </w:r>
      <w:r>
        <w:rPr>
          <w:b/>
        </w:rPr>
        <w:t>SUBIO</w:t>
      </w:r>
      <w:r w:rsidRPr="006517EA">
        <w:rPr>
          <w:b/>
        </w:rPr>
        <w:t xml:space="preserve"> realizada em 03/05/2024.</w:t>
      </w:r>
    </w:p>
  </w:footnote>
  <w:footnote w:id="2">
    <w:p w:rsidR="00A27291" w:rsidRDefault="00A27291" w:rsidP="00A27291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vertAlign w:val="superscript"/>
        </w:rPr>
        <w:footnoteRef/>
      </w:r>
      <w:r>
        <w:t xml:space="preserve"> </w:t>
      </w:r>
      <w:r>
        <w:rPr>
          <w:rFonts w:ascii="Arial" w:eastAsia="Arial" w:hAnsi="Arial" w:cs="Arial"/>
          <w:sz w:val="16"/>
          <w:szCs w:val="16"/>
        </w:rPr>
        <w:t>Lei nº 11.179/2020</w:t>
      </w:r>
    </w:p>
    <w:p w:rsidR="00A27291" w:rsidRDefault="00A27291" w:rsidP="00A27291">
      <w:pPr>
        <w:ind w:left="0" w:right="5573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  <w:highlight w:val="white"/>
        </w:rPr>
        <w:t>ANEXO III</w:t>
      </w:r>
    </w:p>
    <w:p w:rsidR="00A27291" w:rsidRDefault="00A27291" w:rsidP="00A27291">
      <w:pPr>
        <w:ind w:left="0" w:right="5573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  <w:highlight w:val="white"/>
        </w:rPr>
        <w:t>CLASSIFICAÇÕES ESPECÍFICAS</w:t>
      </w:r>
    </w:p>
    <w:p w:rsidR="00A27291" w:rsidRDefault="00A27291" w:rsidP="00A27291">
      <w:pPr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  <w:highlight w:val="white"/>
        </w:rPr>
        <w:t>10) Autorização Diversa:</w:t>
      </w:r>
    </w:p>
    <w:p w:rsidR="00A27291" w:rsidRDefault="00A27291" w:rsidP="00A27291">
      <w:pPr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  <w:highlight w:val="white"/>
        </w:rPr>
        <w:t> Pr (UPF) = 5,0 + VT</w:t>
      </w:r>
    </w:p>
    <w:p w:rsidR="00A27291" w:rsidRDefault="00A27291" w:rsidP="00A27291">
      <w:pPr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  <w:highlight w:val="white"/>
        </w:rPr>
        <w:t> * Pr = preço das licenças em UPF/MT;</w:t>
      </w:r>
    </w:p>
    <w:p w:rsidR="00A27291" w:rsidRDefault="00A27291" w:rsidP="00A27291">
      <w:pPr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6"/>
          <w:szCs w:val="16"/>
          <w:highlight w:val="white"/>
        </w:rPr>
        <w:t>* VT = Vistoria Técnica, em sendo o caso.</w:t>
      </w:r>
    </w:p>
    <w:p w:rsidR="00A27291" w:rsidRDefault="00A27291" w:rsidP="00A272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81D" w:rsidRDefault="00117D1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lang w:eastAsia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-1123314</wp:posOffset>
          </wp:positionH>
          <wp:positionV relativeFrom="paragraph">
            <wp:posOffset>-461009</wp:posOffset>
          </wp:positionV>
          <wp:extent cx="7538085" cy="181800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085" cy="1818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4D8F"/>
    <w:multiLevelType w:val="hybridMultilevel"/>
    <w:tmpl w:val="5F06F1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732B"/>
    <w:multiLevelType w:val="multilevel"/>
    <w:tmpl w:val="24AEA208"/>
    <w:lvl w:ilvl="0">
      <w:start w:val="4"/>
      <w:numFmt w:val="decimal"/>
      <w:lvlText w:val="%1."/>
      <w:lvlJc w:val="left"/>
      <w:pPr>
        <w:ind w:left="570" w:hanging="57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Nexa Light" w:eastAsia="Nexa Light" w:hAnsi="Nexa Light" w:cs="Nexa Light"/>
        <w:vertAlign w:val="baseline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12F866E2"/>
    <w:multiLevelType w:val="multilevel"/>
    <w:tmpl w:val="66680A66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C35A1E"/>
    <w:multiLevelType w:val="multilevel"/>
    <w:tmpl w:val="175A187A"/>
    <w:lvl w:ilvl="0">
      <w:start w:val="5"/>
      <w:numFmt w:val="decimal"/>
      <w:lvlText w:val="%1."/>
      <w:lvlJc w:val="left"/>
      <w:pPr>
        <w:ind w:left="570" w:hanging="57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570" w:hanging="57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vertAlign w:val="baseline"/>
      </w:rPr>
    </w:lvl>
  </w:abstractNum>
  <w:abstractNum w:abstractNumId="4" w15:restartNumberingAfterBreak="0">
    <w:nsid w:val="13D918A3"/>
    <w:multiLevelType w:val="multilevel"/>
    <w:tmpl w:val="C1B24C58"/>
    <w:lvl w:ilvl="0">
      <w:start w:val="3"/>
      <w:numFmt w:val="decimal"/>
      <w:lvlText w:val="%1"/>
      <w:lvlJc w:val="left"/>
      <w:pPr>
        <w:ind w:left="465" w:hanging="465"/>
      </w:pPr>
      <w:rPr>
        <w:vertAlign w:val="baseline"/>
      </w:rPr>
    </w:lvl>
    <w:lvl w:ilvl="1">
      <w:start w:val="4"/>
      <w:numFmt w:val="decimal"/>
      <w:lvlText w:val="%1.%2"/>
      <w:lvlJc w:val="left"/>
      <w:pPr>
        <w:ind w:left="748" w:hanging="465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286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421" w:hanging="1439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vertAlign w:val="baseline"/>
      </w:rPr>
    </w:lvl>
  </w:abstractNum>
  <w:abstractNum w:abstractNumId="5" w15:restartNumberingAfterBreak="0">
    <w:nsid w:val="176A65C6"/>
    <w:multiLevelType w:val="hybridMultilevel"/>
    <w:tmpl w:val="63DECE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A551E"/>
    <w:multiLevelType w:val="multilevel"/>
    <w:tmpl w:val="69F429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F6E764B"/>
    <w:multiLevelType w:val="multilevel"/>
    <w:tmpl w:val="EA705352"/>
    <w:lvl w:ilvl="0">
      <w:start w:val="1"/>
      <w:numFmt w:val="lowerLetter"/>
      <w:lvlText w:val="%1)"/>
      <w:lvlJc w:val="left"/>
      <w:pPr>
        <w:ind w:left="19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7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4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1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8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5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0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757" w:hanging="180"/>
      </w:pPr>
      <w:rPr>
        <w:vertAlign w:val="baseline"/>
      </w:rPr>
    </w:lvl>
  </w:abstractNum>
  <w:abstractNum w:abstractNumId="8" w15:restartNumberingAfterBreak="0">
    <w:nsid w:val="27006147"/>
    <w:multiLevelType w:val="hybridMultilevel"/>
    <w:tmpl w:val="7AF8FC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82C81"/>
    <w:multiLevelType w:val="hybridMultilevel"/>
    <w:tmpl w:val="4D0C565C"/>
    <w:lvl w:ilvl="0" w:tplc="0C5CA9B0">
      <w:start w:val="4"/>
      <w:numFmt w:val="bullet"/>
      <w:lvlText w:val="-"/>
      <w:lvlJc w:val="left"/>
      <w:pPr>
        <w:ind w:left="1080" w:hanging="360"/>
      </w:pPr>
      <w:rPr>
        <w:rFonts w:ascii="Calibri Light" w:eastAsia="Arial Narrow" w:hAnsi="Calibri Light" w:cs="Calibri Light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256EFF"/>
    <w:multiLevelType w:val="hybridMultilevel"/>
    <w:tmpl w:val="3FB8C7BC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B6D69"/>
    <w:multiLevelType w:val="multilevel"/>
    <w:tmpl w:val="22F472F2"/>
    <w:lvl w:ilvl="0">
      <w:start w:val="1"/>
      <w:numFmt w:val="decimal"/>
      <w:lvlText w:val="%1"/>
      <w:lvlJc w:val="left"/>
      <w:pPr>
        <w:ind w:left="360" w:hanging="360"/>
      </w:pPr>
      <w:rPr>
        <w:rFonts w:ascii="Nexa Light" w:eastAsia="Nexa Light" w:hAnsi="Nexa Light" w:cs="Nexa Light"/>
        <w:b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  <w:szCs w:val="24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  <w:szCs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  <w:szCs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  <w:szCs w:val="24"/>
        <w:vertAlign w:val="baseline"/>
      </w:rPr>
    </w:lvl>
  </w:abstractNum>
  <w:abstractNum w:abstractNumId="12" w15:restartNumberingAfterBreak="0">
    <w:nsid w:val="3B68356D"/>
    <w:multiLevelType w:val="multilevel"/>
    <w:tmpl w:val="3CBC655C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F6632E8"/>
    <w:multiLevelType w:val="multilevel"/>
    <w:tmpl w:val="6826089A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86C6E4F"/>
    <w:multiLevelType w:val="multilevel"/>
    <w:tmpl w:val="344CC112"/>
    <w:lvl w:ilvl="0">
      <w:start w:val="1"/>
      <w:numFmt w:val="lowerLetter"/>
      <w:lvlText w:val="%1)"/>
      <w:lvlJc w:val="left"/>
      <w:pPr>
        <w:ind w:left="20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7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4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1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8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0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766" w:hanging="180"/>
      </w:pPr>
      <w:rPr>
        <w:vertAlign w:val="baseline"/>
      </w:rPr>
    </w:lvl>
  </w:abstractNum>
  <w:abstractNum w:abstractNumId="15" w15:restartNumberingAfterBreak="0">
    <w:nsid w:val="6883349E"/>
    <w:multiLevelType w:val="multilevel"/>
    <w:tmpl w:val="8BA6DC1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6" w15:restartNumberingAfterBreak="0">
    <w:nsid w:val="6E0D2B7D"/>
    <w:multiLevelType w:val="hybridMultilevel"/>
    <w:tmpl w:val="43601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1688F"/>
    <w:multiLevelType w:val="multilevel"/>
    <w:tmpl w:val="DA1611B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15844"/>
    <w:multiLevelType w:val="multilevel"/>
    <w:tmpl w:val="839A2AD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3873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4593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953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673" w:hanging="1800"/>
      </w:pPr>
      <w:rPr>
        <w:rFonts w:hint="default"/>
        <w:b/>
        <w:u w:val="single"/>
      </w:rPr>
    </w:lvl>
  </w:abstractNum>
  <w:abstractNum w:abstractNumId="19" w15:restartNumberingAfterBreak="0">
    <w:nsid w:val="7F355A37"/>
    <w:multiLevelType w:val="hybridMultilevel"/>
    <w:tmpl w:val="DEFAAF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5"/>
  </w:num>
  <w:num w:numId="5">
    <w:abstractNumId w:val="14"/>
  </w:num>
  <w:num w:numId="6">
    <w:abstractNumId w:val="11"/>
  </w:num>
  <w:num w:numId="7">
    <w:abstractNumId w:val="1"/>
  </w:num>
  <w:num w:numId="8">
    <w:abstractNumId w:val="18"/>
  </w:num>
  <w:num w:numId="9">
    <w:abstractNumId w:val="12"/>
  </w:num>
  <w:num w:numId="10">
    <w:abstractNumId w:val="8"/>
  </w:num>
  <w:num w:numId="11">
    <w:abstractNumId w:val="16"/>
  </w:num>
  <w:num w:numId="12">
    <w:abstractNumId w:val="0"/>
  </w:num>
  <w:num w:numId="13">
    <w:abstractNumId w:val="5"/>
  </w:num>
  <w:num w:numId="14">
    <w:abstractNumId w:val="9"/>
  </w:num>
  <w:num w:numId="15">
    <w:abstractNumId w:val="10"/>
  </w:num>
  <w:num w:numId="16">
    <w:abstractNumId w:val="19"/>
  </w:num>
  <w:num w:numId="17">
    <w:abstractNumId w:val="2"/>
  </w:num>
  <w:num w:numId="18">
    <w:abstractNumId w:val="17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1D"/>
    <w:rsid w:val="000A200B"/>
    <w:rsid w:val="00117D13"/>
    <w:rsid w:val="00161576"/>
    <w:rsid w:val="001A0D22"/>
    <w:rsid w:val="002256E0"/>
    <w:rsid w:val="0027681D"/>
    <w:rsid w:val="002E3D57"/>
    <w:rsid w:val="003606A2"/>
    <w:rsid w:val="00392874"/>
    <w:rsid w:val="00395B97"/>
    <w:rsid w:val="00413C2A"/>
    <w:rsid w:val="004B459F"/>
    <w:rsid w:val="004D18F4"/>
    <w:rsid w:val="004F7569"/>
    <w:rsid w:val="0068173E"/>
    <w:rsid w:val="006C53FE"/>
    <w:rsid w:val="006F2DD2"/>
    <w:rsid w:val="0070757A"/>
    <w:rsid w:val="007B6CD8"/>
    <w:rsid w:val="0082282F"/>
    <w:rsid w:val="009E7847"/>
    <w:rsid w:val="00A27291"/>
    <w:rsid w:val="00AF2A21"/>
    <w:rsid w:val="00B7193C"/>
    <w:rsid w:val="00B85CDA"/>
    <w:rsid w:val="00D36E9A"/>
    <w:rsid w:val="00D84253"/>
    <w:rsid w:val="00F96282"/>
    <w:rsid w:val="00FD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6A29"/>
  <w15:docId w15:val="{14163E5D-58EF-48CD-986B-22293686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jc w:val="center"/>
    </w:pPr>
    <w:rPr>
      <w:rFonts w:ascii="Verdana" w:eastAsia="Times New Roman" w:hAnsi="Verdana"/>
      <w:i/>
      <w:color w:val="0000FF"/>
      <w:sz w:val="18"/>
      <w:szCs w:val="18"/>
      <w:lang w:eastAsia="pt-BR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Verdana" w:eastAsia="Times New Roman" w:hAnsi="Verdana" w:cs="Times New Roman"/>
      <w:i/>
      <w:color w:val="0000FF"/>
      <w:w w:val="100"/>
      <w:position w:val="-1"/>
      <w:sz w:val="18"/>
      <w:szCs w:val="18"/>
      <w:effect w:val="none"/>
      <w:vertAlign w:val="baseline"/>
      <w:cs w:val="0"/>
      <w:em w:val="none"/>
      <w:lang w:eastAsia="pt-BR"/>
    </w:rPr>
  </w:style>
  <w:style w:type="paragraph" w:styleId="Corpodetexto">
    <w:name w:val="Body Text"/>
    <w:basedOn w:val="Normal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TextosemFormatao">
    <w:name w:val="Plain Text"/>
    <w:basedOn w:val="Normal"/>
    <w:qFormat/>
    <w:rPr>
      <w:rFonts w:ascii="Courier New" w:eastAsia="Times New Roman" w:hAnsi="Courier New"/>
      <w:sz w:val="20"/>
      <w:szCs w:val="20"/>
    </w:rPr>
  </w:style>
  <w:style w:type="character" w:customStyle="1" w:styleId="TextosemFormataoChar">
    <w:name w:val="Texto sem Formatação Char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S Mincho" w:cs="Times New Roman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qFormat/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+QN4RnvqgwA9GG1hckGSct5zlw==">CgMxLjA4AHIhMWNaSlIyZGJVSU9kRkhlX3hHS1U5UG5BWUJMaDJaSTE3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DD76FC27-BCE7-4CF9-8B37-048CB7E18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 Arata</dc:creator>
  <cp:lastModifiedBy>Mauren Lazzaretti</cp:lastModifiedBy>
  <cp:revision>2</cp:revision>
  <dcterms:created xsi:type="dcterms:W3CDTF">2024-07-02T19:58:00Z</dcterms:created>
  <dcterms:modified xsi:type="dcterms:W3CDTF">2024-07-02T19:58:00Z</dcterms:modified>
</cp:coreProperties>
</file>